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6" w:rsidRDefault="00BA0ED6" w:rsidP="00B913AF">
      <w:pPr>
        <w:keepNext/>
        <w:pBdr>
          <w:bottom w:val="single" w:sz="18" w:space="1" w:color="E36C0A" w:themeColor="accent6" w:themeShade="BF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smallCaps/>
          <w:sz w:val="28"/>
          <w:szCs w:val="22"/>
        </w:rPr>
      </w:pPr>
    </w:p>
    <w:p w:rsidR="000D2C26" w:rsidRPr="00AF7D48" w:rsidRDefault="000D2C26" w:rsidP="00B913AF">
      <w:pPr>
        <w:keepNext/>
        <w:pBdr>
          <w:bottom w:val="single" w:sz="18" w:space="1" w:color="E36C0A" w:themeColor="accent6" w:themeShade="BF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bookmarkStart w:id="0" w:name="_GoBack"/>
      <w:bookmarkEnd w:id="0"/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>
        <w:rPr>
          <w:rFonts w:asciiTheme="minorHAnsi" w:hAnsiTheme="minorHAnsi"/>
          <w:b/>
          <w:smallCaps/>
          <w:sz w:val="28"/>
          <w:szCs w:val="22"/>
        </w:rPr>
        <w:t>Pièces justificatives à fournir pour</w:t>
      </w:r>
      <w:r w:rsidR="0096155B">
        <w:rPr>
          <w:rFonts w:asciiTheme="minorHAnsi" w:hAnsiTheme="minorHAnsi"/>
          <w:b/>
          <w:smallCaps/>
          <w:sz w:val="28"/>
          <w:szCs w:val="22"/>
        </w:rPr>
        <w:t xml:space="preserve"> l’analyse des marchés publics</w:t>
      </w:r>
      <w:r w:rsidR="0048578C">
        <w:rPr>
          <w:rFonts w:asciiTheme="minorHAnsi" w:hAnsiTheme="minorHAnsi"/>
          <w:b/>
          <w:smallCaps/>
          <w:sz w:val="28"/>
          <w:szCs w:val="22"/>
        </w:rPr>
        <w:t xml:space="preserve"> 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Pr="000D2C26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E36C0A" w:themeFill="accent6" w:themeFillShade="BF"/>
        </w:rPr>
        <w:t>Annexe</w:t>
      </w:r>
      <w:r w:rsidRPr="000D2C26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E36C0A" w:themeFill="accent6" w:themeFillShade="BF"/>
        </w:rPr>
        <w:t xml:space="preserve"> </w:t>
      </w:r>
      <w:r w:rsidR="005042A2">
        <w:rPr>
          <w:rFonts w:asciiTheme="minorHAnsi" w:hAnsiTheme="minorHAnsi"/>
          <w:b/>
          <w:color w:val="FFFFFF" w:themeColor="background1"/>
          <w:sz w:val="40"/>
          <w:szCs w:val="22"/>
          <w:shd w:val="clear" w:color="auto" w:fill="E36C0A" w:themeFill="accent6" w:themeFillShade="BF"/>
        </w:rPr>
        <w:t>⑦</w:t>
      </w:r>
    </w:p>
    <w:p w:rsidR="00AF7D48" w:rsidRPr="00AF7D48" w:rsidRDefault="00AF7D48" w:rsidP="00AF7D48">
      <w:pPr>
        <w:spacing w:before="60" w:after="60"/>
        <w:ind w:right="-425"/>
        <w:rPr>
          <w:rFonts w:asciiTheme="minorHAnsi" w:hAnsiTheme="minorHAnsi"/>
          <w:sz w:val="22"/>
          <w:szCs w:val="22"/>
        </w:rPr>
      </w:pP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5243"/>
      </w:tblGrid>
      <w:tr w:rsidR="005042A2" w:rsidRPr="00F64849" w:rsidTr="005042A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42A2" w:rsidRPr="005042A2" w:rsidRDefault="005042A2" w:rsidP="0041408E">
            <w:pPr>
              <w:jc w:val="center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5042A2">
              <w:rPr>
                <w:rFonts w:ascii="Calibri" w:hAnsi="Calibri"/>
                <w:b/>
                <w:smallCaps/>
                <w:sz w:val="24"/>
                <w:szCs w:val="24"/>
              </w:rPr>
              <w:t xml:space="preserve">PIECES JUSTIFICATIVES POUR LES OBLIGATIONS DE MISE EN CONCURRENCE </w:t>
            </w:r>
          </w:p>
        </w:tc>
      </w:tr>
      <w:tr w:rsidR="00B97D62" w:rsidTr="0053391C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B97D62" w:rsidRPr="00B97D62" w:rsidRDefault="00B97D62" w:rsidP="00B97D62">
            <w:pPr>
              <w:tabs>
                <w:tab w:val="right" w:leader="dot" w:pos="5697"/>
              </w:tabs>
              <w:rPr>
                <w:rFonts w:ascii="Calibri" w:hAnsi="Calibri"/>
                <w:b/>
                <w:smallCaps/>
                <w:sz w:val="24"/>
                <w:szCs w:val="22"/>
                <w:u w:val="single"/>
              </w:rPr>
            </w:pPr>
          </w:p>
        </w:tc>
      </w:tr>
      <w:tr w:rsidR="00B97D62" w:rsidTr="0053391C">
        <w:tc>
          <w:tcPr>
            <w:tcW w:w="5000" w:type="pct"/>
            <w:gridSpan w:val="2"/>
            <w:shd w:val="clear" w:color="auto" w:fill="E36C0A" w:themeFill="accent6" w:themeFillShade="BF"/>
          </w:tcPr>
          <w:p w:rsidR="005E690E" w:rsidRDefault="0084085E" w:rsidP="005E690E">
            <w:pPr>
              <w:tabs>
                <w:tab w:val="right" w:leader="dot" w:pos="5697"/>
              </w:tabs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025AF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SI VOUS N’ETES PAS SOUMIS A LA COMMANDE PUBLIQUE</w:t>
            </w:r>
            <w:r w:rsidR="00B40F73" w:rsidRPr="00025AF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</w:t>
            </w:r>
          </w:p>
          <w:p w:rsidR="00B97D62" w:rsidRPr="00025AF0" w:rsidRDefault="00B40F73" w:rsidP="005E690E">
            <w:pPr>
              <w:tabs>
                <w:tab w:val="right" w:leader="dot" w:pos="5697"/>
              </w:tabs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025AF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(ni code des marchés, ni ordonnance 2005</w:t>
            </w:r>
            <w:r w:rsidR="00025AF0" w:rsidRPr="00025AF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, ni ordonnance 2015</w:t>
            </w:r>
            <w:r w:rsidRPr="00025AF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)</w:t>
            </w:r>
          </w:p>
        </w:tc>
      </w:tr>
      <w:tr w:rsidR="00B97D62" w:rsidTr="0053391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437" w:rsidRPr="00025AF0" w:rsidRDefault="008E1437" w:rsidP="002B356C">
            <w:pPr>
              <w:snapToGrid w:val="0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8E1437" w:rsidRPr="00025AF0" w:rsidTr="008E1437">
              <w:tc>
                <w:tcPr>
                  <w:tcW w:w="5129" w:type="dxa"/>
                  <w:shd w:val="clear" w:color="auto" w:fill="D9D9D9" w:themeFill="background1" w:themeFillShade="D9"/>
                </w:tcPr>
                <w:p w:rsidR="008E1437" w:rsidRPr="00025AF0" w:rsidRDefault="008E1437" w:rsidP="00B43607">
                  <w:pPr>
                    <w:snapToGrid w:val="0"/>
                    <w:spacing w:before="12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Si vous n’avez pas de procédure interne d’achats</w:t>
                  </w:r>
                </w:p>
              </w:tc>
              <w:tc>
                <w:tcPr>
                  <w:tcW w:w="5130" w:type="dxa"/>
                  <w:shd w:val="clear" w:color="auto" w:fill="D9D9D9" w:themeFill="background1" w:themeFillShade="D9"/>
                </w:tcPr>
                <w:p w:rsidR="008E1437" w:rsidRPr="00025AF0" w:rsidRDefault="008E1437" w:rsidP="00B43607">
                  <w:pPr>
                    <w:snapToGrid w:val="0"/>
                    <w:spacing w:before="12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Si vous avez une procédure interne d’achats</w:t>
                  </w:r>
                </w:p>
              </w:tc>
            </w:tr>
            <w:tr w:rsidR="008E1437" w:rsidRPr="00025AF0" w:rsidTr="00B43607">
              <w:trPr>
                <w:trHeight w:val="1544"/>
              </w:trPr>
              <w:tc>
                <w:tcPr>
                  <w:tcW w:w="5129" w:type="dxa"/>
                </w:tcPr>
                <w:p w:rsidR="008E1437" w:rsidRPr="00025AF0" w:rsidRDefault="008E1437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:rsidR="008E1437" w:rsidRDefault="008E1437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instrText xml:space="preserve"> FORMCHECKBOX </w:instrText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separate"/>
                  </w: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end"/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 xml:space="preserve"> Trois devis ou trois lettres de consultation </w:t>
                  </w:r>
                </w:p>
                <w:p w:rsidR="005E690E" w:rsidRPr="00025AF0" w:rsidRDefault="005E690E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ou</w:t>
                  </w:r>
                </w:p>
                <w:p w:rsidR="008E1437" w:rsidRPr="00025AF0" w:rsidRDefault="008E1437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instrText xml:space="preserve"> FORMCHECKBOX </w:instrText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separate"/>
                  </w: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end"/>
                  </w: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Impressions de prix de catalogue d’au moins trois fournisseurs</w:t>
                  </w:r>
                </w:p>
                <w:p w:rsidR="008E1437" w:rsidRPr="00025AF0" w:rsidRDefault="008E1437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30" w:type="dxa"/>
                </w:tcPr>
                <w:p w:rsidR="00E00E87" w:rsidRDefault="00E00E87" w:rsidP="00E00E87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:rsidR="00E00E87" w:rsidRPr="00025AF0" w:rsidRDefault="00E00E87" w:rsidP="00E00E87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instrText xml:space="preserve"> FORMCHECKBOX </w:instrText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separate"/>
                  </w: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end"/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 xml:space="preserve"> L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a procédure interne</w:t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 xml:space="preserve"> d’achats </w:t>
                  </w:r>
                </w:p>
                <w:p w:rsidR="008E1437" w:rsidRPr="00025AF0" w:rsidRDefault="008E1437" w:rsidP="008E1437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instrText xml:space="preserve"> FORMCHECKBOX </w:instrText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</w:r>
                  <w:r w:rsidR="00FD3233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separate"/>
                  </w:r>
                  <w:r w:rsidRPr="00025AF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fldChar w:fldCharType="end"/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 xml:space="preserve"> Les documents de mise en concurrence demandés dans votre procédure interne d’achats </w:t>
                  </w:r>
                </w:p>
                <w:p w:rsidR="008E1437" w:rsidRPr="00025AF0" w:rsidRDefault="008E1437" w:rsidP="002B356C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F86B10" w:rsidRPr="00025AF0" w:rsidRDefault="002B356C" w:rsidP="00604513">
            <w:pPr>
              <w:snapToGrid w:val="0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5AF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76F0F" w:rsidRPr="00025AF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04513" w:rsidRPr="00025AF0">
              <w:rPr>
                <w:noProof/>
                <w:sz w:val="22"/>
                <w:szCs w:val="22"/>
              </w:rPr>
              <w:drawing>
                <wp:inline distT="0" distB="0" distL="0" distR="0" wp14:anchorId="26318984" wp14:editId="557555A2">
                  <wp:extent cx="257175" cy="257175"/>
                  <wp:effectExtent l="0" t="0" r="9525" b="9525"/>
                  <wp:docPr id="1" name="Image 1" descr="imagesCAHUVX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CAHUVX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4513" w:rsidRPr="00025AF0">
              <w:rPr>
                <w:rFonts w:ascii="Calibri" w:hAnsi="Calibri"/>
                <w:b/>
                <w:noProof/>
                <w:color w:val="FF0000"/>
                <w:sz w:val="22"/>
                <w:szCs w:val="22"/>
                <w:u w:val="single"/>
              </w:rPr>
              <w:t xml:space="preserve"> Point de vigilance :</w:t>
            </w:r>
            <w:r w:rsidR="00604513" w:rsidRPr="00025AF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76F0F" w:rsidRPr="00025AF0">
              <w:rPr>
                <w:rFonts w:ascii="Calibri" w:hAnsi="Calibri" w:cs="Arial"/>
                <w:sz w:val="22"/>
                <w:szCs w:val="22"/>
              </w:rPr>
              <w:t>Votre dépense ne pourra être prise en compte si vous ne pouvez nous transmettre les pièces justificatives demandées ci-dessus.</w:t>
            </w:r>
          </w:p>
          <w:p w:rsidR="00B43607" w:rsidRPr="00025AF0" w:rsidRDefault="00B43607" w:rsidP="00604513">
            <w:pPr>
              <w:snapToGrid w:val="0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43607" w:rsidRPr="00025AF0" w:rsidRDefault="00B43607" w:rsidP="00B43607">
            <w:pPr>
              <w:shd w:val="clear" w:color="auto" w:fill="FFFFFF"/>
              <w:spacing w:after="200" w:line="276" w:lineRule="auto"/>
              <w:jc w:val="both"/>
              <w:rPr>
                <w:rFonts w:ascii="Calibri" w:eastAsia="Calibri" w:hAnsi="Calibri" w:cs="Calibri"/>
                <w:b/>
                <w:i/>
                <w:color w:val="4F81BD"/>
                <w:sz w:val="22"/>
                <w:szCs w:val="22"/>
                <w:lang w:eastAsia="en-US"/>
              </w:rPr>
            </w:pPr>
            <w:r w:rsidRPr="00025AF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sym w:font="Wingdings" w:char="F049"/>
            </w:r>
            <w:r w:rsidRPr="00025AF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025AF0">
              <w:rPr>
                <w:rFonts w:ascii="Calibri" w:eastAsia="Calibri" w:hAnsi="Calibri" w:cs="Calibri"/>
                <w:b/>
                <w:i/>
                <w:color w:val="4F81BD"/>
                <w:sz w:val="22"/>
                <w:szCs w:val="22"/>
                <w:lang w:eastAsia="en-US"/>
              </w:rPr>
              <w:t>Le chargé de programme pourra vous renseigner sur la validité de vos justificatifs.</w:t>
            </w:r>
          </w:p>
          <w:p w:rsidR="00B43607" w:rsidRPr="00025AF0" w:rsidRDefault="00B43607" w:rsidP="00604513">
            <w:pPr>
              <w:snapToGrid w:val="0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7D62" w:rsidRPr="00B97D62" w:rsidTr="00264D30">
        <w:trPr>
          <w:trHeight w:val="2770"/>
        </w:trPr>
        <w:tc>
          <w:tcPr>
            <w:tcW w:w="500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78C" w:rsidRDefault="0048578C" w:rsidP="00B97D62">
            <w:pPr>
              <w:tabs>
                <w:tab w:val="right" w:leader="dot" w:pos="5697"/>
              </w:tabs>
              <w:rPr>
                <w:rFonts w:ascii="Calibri" w:hAnsi="Calibri"/>
                <w:b/>
                <w:smallCaps/>
                <w:sz w:val="24"/>
                <w:szCs w:val="22"/>
                <w:u w:val="single"/>
              </w:rPr>
            </w:pPr>
          </w:p>
          <w:tbl>
            <w:tblPr>
              <w:tblW w:w="10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9"/>
            </w:tblGrid>
            <w:tr w:rsidR="0048578C" w:rsidRPr="001910AF" w:rsidTr="00025AF0">
              <w:trPr>
                <w:trHeight w:val="1199"/>
              </w:trPr>
              <w:tc>
                <w:tcPr>
                  <w:tcW w:w="5000" w:type="pct"/>
                  <w:shd w:val="clear" w:color="auto" w:fill="E36C0A" w:themeFill="accent6" w:themeFillShade="BF"/>
                </w:tcPr>
                <w:p w:rsidR="006B0D67" w:rsidRDefault="006B0D67" w:rsidP="00DD0C14">
                  <w:pPr>
                    <w:tabs>
                      <w:tab w:val="right" w:leader="dot" w:pos="5697"/>
                    </w:tabs>
                    <w:spacing w:before="120" w:after="120"/>
                    <w:jc w:val="center"/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POUR LES DEPENSES INFERIEURES A 25 000 €</w:t>
                  </w:r>
                </w:p>
                <w:p w:rsidR="00D06740" w:rsidRDefault="005E690E" w:rsidP="005E690E">
                  <w:pPr>
                    <w:tabs>
                      <w:tab w:val="right" w:leader="dot" w:pos="5697"/>
                    </w:tabs>
                    <w:spacing w:before="120" w:after="120"/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Si vous êtes soumis au</w:t>
                  </w:r>
                  <w:r w:rsidR="00DD0C14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CODE DES MARCHES PUBLICS</w:t>
                  </w:r>
                  <w:r w:rsidR="0047542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ou </w:t>
                  </w:r>
                  <w:r w:rsidR="0086077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à</w:t>
                  </w:r>
                  <w:r w:rsidR="0047542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l’ORDONNANCE</w:t>
                  </w:r>
                  <w:r w:rsidR="00D0674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de</w:t>
                  </w:r>
                  <w:r w:rsidR="0047542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 2005</w:t>
                  </w:r>
                  <w:r w:rsidR="00025AF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ou 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à</w:t>
                  </w:r>
                  <w:r w:rsidR="00D0674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l’</w:t>
                  </w:r>
                  <w:r w:rsidR="00025AF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ORDONNANCE</w:t>
                  </w:r>
                  <w:r w:rsidR="00B67EEA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de</w:t>
                  </w:r>
                  <w:r w:rsidR="00025AF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 xml:space="preserve"> </w:t>
                  </w:r>
                  <w:r w:rsidR="00D0674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2</w:t>
                  </w:r>
                  <w:r w:rsidR="00025AF0">
                    <w:rPr>
                      <w:rFonts w:ascii="Calibri" w:hAnsi="Calibri"/>
                      <w:b/>
                      <w:smallCaps/>
                      <w:sz w:val="22"/>
                      <w:szCs w:val="22"/>
                      <w:u w:val="single"/>
                    </w:rPr>
                    <w:t>015</w:t>
                  </w:r>
                </w:p>
                <w:p w:rsidR="0048578C" w:rsidRPr="005E690E" w:rsidRDefault="00025AF0" w:rsidP="005E690E">
                  <w:pPr>
                    <w:tabs>
                      <w:tab w:val="right" w:leader="dot" w:pos="5697"/>
                    </w:tabs>
                    <w:spacing w:before="120" w:after="120"/>
                    <w:jc w:val="center"/>
                    <w:rPr>
                      <w:rFonts w:ascii="Calibri" w:hAnsi="Calibri"/>
                      <w:b/>
                      <w:i/>
                      <w:smallCaps/>
                      <w:sz w:val="28"/>
                      <w:szCs w:val="28"/>
                    </w:rPr>
                  </w:pP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 xml:space="preserve"> (NB </w:t>
                  </w:r>
                  <w:r w:rsidR="005E690E" w:rsidRPr="005E690E">
                    <w:rPr>
                      <w:rFonts w:ascii="Calibri" w:hAnsi="Calibri"/>
                      <w:i/>
                      <w:smallCaps/>
                      <w:sz w:val="22"/>
                      <w:szCs w:val="22"/>
                    </w:rPr>
                    <w:t xml:space="preserve">: </w:t>
                  </w:r>
                  <w:r w:rsidR="005E690E"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 xml:space="preserve">les </w:t>
                  </w: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 xml:space="preserve">marchés passes </w:t>
                  </w:r>
                  <w:r w:rsidR="005E690E"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>à</w:t>
                  </w: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 xml:space="preserve"> partir du 1</w:t>
                  </w: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  <w:vertAlign w:val="superscript"/>
                    </w:rPr>
                    <w:t>er</w:t>
                  </w: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 xml:space="preserve"> avril 2016 </w:t>
                  </w:r>
                  <w:r w:rsidR="005E690E"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>sont soumis à l’ordonnance de 2015</w:t>
                  </w:r>
                  <w:r w:rsidRPr="005E690E">
                    <w:rPr>
                      <w:rFonts w:ascii="Calibri" w:hAnsi="Calibri"/>
                      <w:b/>
                      <w:i/>
                      <w:smallCaps/>
                      <w:sz w:val="22"/>
                      <w:szCs w:val="22"/>
                    </w:rPr>
                    <w:t>)</w:t>
                  </w:r>
                </w:p>
              </w:tc>
            </w:tr>
            <w:tr w:rsidR="0048578C" w:rsidRPr="00B97D62" w:rsidTr="00876F0F">
              <w:tc>
                <w:tcPr>
                  <w:tcW w:w="5000" w:type="pct"/>
                  <w:shd w:val="clear" w:color="auto" w:fill="auto"/>
                </w:tcPr>
                <w:p w:rsidR="006B0D67" w:rsidRDefault="0014421F" w:rsidP="0014421F">
                  <w:pPr>
                    <w:snapToGrid w:val="0"/>
                    <w:spacing w:before="120"/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29"/>
                    <w:gridCol w:w="5130"/>
                  </w:tblGrid>
                  <w:tr w:rsidR="00876F0F" w:rsidTr="0071617E">
                    <w:tc>
                      <w:tcPr>
                        <w:tcW w:w="5129" w:type="dxa"/>
                        <w:shd w:val="clear" w:color="auto" w:fill="D9D9D9" w:themeFill="background1" w:themeFillShade="D9"/>
                      </w:tcPr>
                      <w:p w:rsidR="00876F0F" w:rsidRPr="00AB4685" w:rsidRDefault="00876F0F" w:rsidP="00B43607">
                        <w:pPr>
                          <w:snapToGrid w:val="0"/>
                          <w:spacing w:before="120"/>
                          <w:jc w:val="center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AB468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Si vous n’avez pas de procédure interne d’achats</w:t>
                        </w:r>
                      </w:p>
                    </w:tc>
                    <w:tc>
                      <w:tcPr>
                        <w:tcW w:w="5130" w:type="dxa"/>
                        <w:shd w:val="clear" w:color="auto" w:fill="D9D9D9" w:themeFill="background1" w:themeFillShade="D9"/>
                      </w:tcPr>
                      <w:p w:rsidR="00876F0F" w:rsidRPr="00AB4685" w:rsidRDefault="00876F0F" w:rsidP="00B43607">
                        <w:pPr>
                          <w:snapToGrid w:val="0"/>
                          <w:spacing w:before="120"/>
                          <w:jc w:val="center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AB468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Si vous avez une procédure interne d’achats</w:t>
                        </w:r>
                      </w:p>
                      <w:p w:rsidR="00876F0F" w:rsidRDefault="00876F0F" w:rsidP="00B43607">
                        <w:pPr>
                          <w:snapToGrid w:val="0"/>
                          <w:spacing w:before="120"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76F0F" w:rsidTr="005E690E">
                    <w:trPr>
                      <w:trHeight w:val="2049"/>
                    </w:trPr>
                    <w:tc>
                      <w:tcPr>
                        <w:tcW w:w="5129" w:type="dxa"/>
                      </w:tcPr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pPr>
                      </w:p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Box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Trois devis ou trois lettres de consultation</w:t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E690E" w:rsidRDefault="005E690E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ou</w:t>
                        </w:r>
                      </w:p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Box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t xml:space="preserve"> Impressions de prix de catalogue d’au moins trois fournisseurs</w:t>
                        </w:r>
                      </w:p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30" w:type="dxa"/>
                      </w:tcPr>
                      <w:p w:rsidR="007C1CE3" w:rsidRDefault="007C1CE3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pPr>
                      </w:p>
                      <w:p w:rsidR="00876F0F" w:rsidRDefault="007C1CE3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pP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Box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Procédure interne d’achats </w:t>
                        </w:r>
                      </w:p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Box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</w:r>
                        <w:r w:rsidR="00FD323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Pr="00956193">
                          <w:rPr>
                            <w:rFonts w:ascii="Calibri" w:hAnsi="Calibri" w:cs="Arial"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Les documents de mise en concurrence demandés dans votre procédure interne d’achats</w:t>
                        </w:r>
                        <w:r w:rsidRPr="0095619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76F0F" w:rsidRDefault="00876F0F" w:rsidP="0071617E">
                        <w:pPr>
                          <w:snapToGrid w:val="0"/>
                          <w:spacing w:before="120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E690E" w:rsidRPr="00025AF0" w:rsidRDefault="005E690E" w:rsidP="005E690E">
                  <w:pPr>
                    <w:snapToGrid w:val="0"/>
                    <w:spacing w:before="12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 xml:space="preserve">  </w:t>
                  </w:r>
                  <w:r w:rsidRPr="00025AF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E3DB87B" wp14:editId="20DB3880">
                        <wp:extent cx="257175" cy="257175"/>
                        <wp:effectExtent l="0" t="0" r="9525" b="9525"/>
                        <wp:docPr id="4" name="Image 4" descr="imagesCAHUVX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sCAHUVX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5AF0">
                    <w:rPr>
                      <w:rFonts w:ascii="Calibri" w:hAnsi="Calibri"/>
                      <w:b/>
                      <w:noProof/>
                      <w:color w:val="FF0000"/>
                      <w:sz w:val="22"/>
                      <w:szCs w:val="22"/>
                      <w:u w:val="single"/>
                    </w:rPr>
                    <w:t xml:space="preserve"> Point de vigilance :</w:t>
                  </w:r>
                  <w:r w:rsidRPr="00025AF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</w:t>
                  </w:r>
                  <w:r w:rsidRPr="00025AF0">
                    <w:rPr>
                      <w:rFonts w:ascii="Calibri" w:hAnsi="Calibri" w:cs="Arial"/>
                      <w:sz w:val="22"/>
                      <w:szCs w:val="22"/>
                    </w:rPr>
                    <w:t>Votre dépense ne pourra être prise en compte si vous ne pouvez nous transmettre les pièces justificatives demandées ci-dessus.</w:t>
                  </w:r>
                </w:p>
                <w:p w:rsidR="00151847" w:rsidRDefault="00565F11" w:rsidP="00876F0F">
                  <w:pPr>
                    <w:snapToGrid w:val="0"/>
                    <w:spacing w:before="120"/>
                    <w:jc w:val="both"/>
                    <w:rPr>
                      <w:rFonts w:ascii="Calibri" w:eastAsia="Calibri" w:hAnsi="Calibri" w:cs="Calibri"/>
                      <w:b/>
                      <w:i/>
                      <w:color w:val="4F81BD"/>
                      <w:sz w:val="22"/>
                      <w:szCs w:val="22"/>
                      <w:lang w:eastAsia="en-US"/>
                    </w:rPr>
                  </w:pPr>
                  <w:r w:rsidRPr="00565F11">
                    <w:rPr>
                      <w:rFonts w:ascii="Calibri" w:eastAsia="Calibri" w:hAnsi="Calibri" w:cs="Calibri"/>
                      <w:b/>
                      <w:sz w:val="36"/>
                      <w:szCs w:val="16"/>
                      <w:lang w:eastAsia="en-US"/>
                    </w:rPr>
                    <w:sym w:font="Wingdings" w:char="F049"/>
                  </w:r>
                  <w:r w:rsidRPr="00565F11">
                    <w:rPr>
                      <w:rFonts w:ascii="Calibri" w:eastAsia="Calibri" w:hAnsi="Calibri" w:cs="Calibri"/>
                      <w:b/>
                      <w:sz w:val="36"/>
                      <w:szCs w:val="16"/>
                      <w:lang w:eastAsia="en-US"/>
                    </w:rPr>
                    <w:t xml:space="preserve"> </w:t>
                  </w:r>
                  <w:r w:rsidRPr="00565F11">
                    <w:rPr>
                      <w:rFonts w:ascii="Calibri" w:eastAsia="Calibri" w:hAnsi="Calibri" w:cs="Calibri"/>
                      <w:b/>
                      <w:i/>
                      <w:color w:val="4F81BD"/>
                      <w:sz w:val="22"/>
                      <w:szCs w:val="22"/>
                      <w:lang w:eastAsia="en-US"/>
                    </w:rPr>
                    <w:t xml:space="preserve">Le chargé de programme pourra vous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4F81BD"/>
                      <w:sz w:val="22"/>
                      <w:szCs w:val="22"/>
                      <w:lang w:eastAsia="en-US"/>
                    </w:rPr>
                    <w:t>renseigner sur la validité de vos justificatifs.</w:t>
                  </w:r>
                </w:p>
                <w:p w:rsidR="005E690E" w:rsidRDefault="005E690E" w:rsidP="00876F0F">
                  <w:pPr>
                    <w:snapToGrid w:val="0"/>
                    <w:spacing w:before="120"/>
                    <w:jc w:val="both"/>
                    <w:rPr>
                      <w:rFonts w:cs="Arial"/>
                    </w:rPr>
                  </w:pPr>
                </w:p>
                <w:p w:rsidR="005E690E" w:rsidRDefault="005E690E" w:rsidP="00876F0F">
                  <w:pPr>
                    <w:snapToGrid w:val="0"/>
                    <w:spacing w:before="120"/>
                    <w:jc w:val="both"/>
                    <w:rPr>
                      <w:rFonts w:cs="Arial"/>
                    </w:rPr>
                  </w:pPr>
                </w:p>
                <w:p w:rsidR="005E690E" w:rsidRPr="002B356C" w:rsidRDefault="005E690E" w:rsidP="00876F0F">
                  <w:pPr>
                    <w:snapToGrid w:val="0"/>
                    <w:spacing w:before="120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5C7FD6" w:rsidRPr="00B97D62" w:rsidRDefault="005C7FD6" w:rsidP="009A56B0">
            <w:pPr>
              <w:tabs>
                <w:tab w:val="right" w:leader="dot" w:pos="5697"/>
              </w:tabs>
              <w:rPr>
                <w:rFonts w:ascii="Calibri" w:hAnsi="Calibri"/>
                <w:b/>
                <w:smallCaps/>
                <w:sz w:val="24"/>
                <w:szCs w:val="22"/>
                <w:u w:val="single"/>
              </w:rPr>
            </w:pPr>
          </w:p>
        </w:tc>
      </w:tr>
      <w:tr w:rsidR="00B97D62" w:rsidTr="00B43607">
        <w:tc>
          <w:tcPr>
            <w:tcW w:w="5000" w:type="pct"/>
            <w:gridSpan w:val="2"/>
            <w:shd w:val="clear" w:color="auto" w:fill="E36C0A" w:themeFill="accent6" w:themeFillShade="BF"/>
          </w:tcPr>
          <w:p w:rsidR="00B97D62" w:rsidRDefault="00B97D62" w:rsidP="00DD0C14">
            <w:pPr>
              <w:tabs>
                <w:tab w:val="right" w:leader="dot" w:pos="5697"/>
              </w:tabs>
              <w:spacing w:before="120" w:after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1910AF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lastRenderedPageBreak/>
              <w:t>CODE DES MARCHES PUBLICS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pour </w:t>
            </w:r>
            <w:r w:rsidR="005E690E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les 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consultations lancées avant le 1</w:t>
            </w:r>
            <w:r w:rsidR="008B4010" w:rsidRPr="008B4010">
              <w:rPr>
                <w:rFonts w:ascii="Calibri" w:hAnsi="Calibri"/>
                <w:b/>
                <w:smallCaps/>
                <w:sz w:val="22"/>
                <w:szCs w:val="22"/>
                <w:u w:val="single"/>
                <w:vertAlign w:val="superscript"/>
              </w:rPr>
              <w:t>er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avril 2016</w:t>
            </w:r>
          </w:p>
        </w:tc>
      </w:tr>
      <w:tr w:rsidR="00B97D62" w:rsidTr="00B43607">
        <w:tc>
          <w:tcPr>
            <w:tcW w:w="2501" w:type="pct"/>
            <w:shd w:val="clear" w:color="auto" w:fill="auto"/>
            <w:vAlign w:val="center"/>
          </w:tcPr>
          <w:p w:rsidR="000748A0" w:rsidRDefault="00B97D62" w:rsidP="00B43607">
            <w:pPr>
              <w:tabs>
                <w:tab w:val="right" w:leader="dot" w:pos="5697"/>
              </w:tabs>
              <w:spacing w:after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1910AF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Procédure adaptée</w:t>
            </w:r>
          </w:p>
          <w:p w:rsidR="00B97D62" w:rsidRDefault="009A56B0" w:rsidP="00B43607">
            <w:pPr>
              <w:tabs>
                <w:tab w:val="right" w:leader="dot" w:pos="5697"/>
              </w:tabs>
              <w:spacing w:after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(Selon l’article 28 du code des marchés publics)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B97D62" w:rsidRDefault="00B97D62" w:rsidP="00B43607">
            <w:pPr>
              <w:tabs>
                <w:tab w:val="right" w:leader="dot" w:pos="5697"/>
              </w:tabs>
              <w:spacing w:after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1910AF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Procédure formalisée</w:t>
            </w:r>
          </w:p>
        </w:tc>
      </w:tr>
      <w:tr w:rsidR="00B97D62" w:rsidRPr="001910AF" w:rsidTr="0053391C">
        <w:tc>
          <w:tcPr>
            <w:tcW w:w="2501" w:type="pct"/>
            <w:shd w:val="clear" w:color="auto" w:fill="auto"/>
          </w:tcPr>
          <w:p w:rsidR="000748A0" w:rsidRDefault="0036490A" w:rsidP="0036490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Délibération de l’organe compétent autorisant l’exécutif à passer les marchés en procédure adaptée </w:t>
            </w:r>
            <w:r w:rsidR="000748A0"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8A0"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0748A0"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0748A0"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748A0">
              <w:rPr>
                <w:rFonts w:ascii="Calibri" w:hAnsi="Calibri" w:cs="Arial"/>
                <w:bCs/>
                <w:sz w:val="22"/>
                <w:szCs w:val="22"/>
              </w:rPr>
              <w:t xml:space="preserve"> Procédure interne des achats</w:t>
            </w:r>
            <w:r w:rsidR="005B3CD3">
              <w:rPr>
                <w:rFonts w:ascii="Calibri" w:hAnsi="Calibri" w:cs="Arial"/>
                <w:bCs/>
                <w:sz w:val="22"/>
                <w:szCs w:val="22"/>
              </w:rPr>
              <w:t>, le cas échéant, règlement sur les procédures de passation des marchés</w:t>
            </w:r>
            <w:r w:rsidR="000748A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D11D2C" w:rsidRDefault="000748A0" w:rsidP="00D11D2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D11D2C">
              <w:rPr>
                <w:rFonts w:ascii="Calibri" w:hAnsi="Calibri" w:cs="Arial"/>
                <w:bCs/>
                <w:sz w:val="22"/>
                <w:szCs w:val="22"/>
              </w:rPr>
              <w:t xml:space="preserve">Pièces justificatives de mise en concurrence indiquées dans la procédure interne d’achats </w:t>
            </w:r>
          </w:p>
          <w:p w:rsidR="009A56B0" w:rsidRPr="00956193" w:rsidRDefault="009A56B0" w:rsidP="009A56B0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Règlement de consultation </w:t>
            </w:r>
          </w:p>
          <w:p w:rsidR="009A56B0" w:rsidRDefault="009A56B0" w:rsidP="009A56B0">
            <w:pPr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Cahier des charges CCAP, CCTP</w:t>
            </w:r>
          </w:p>
          <w:p w:rsidR="00405D2E" w:rsidRPr="00956193" w:rsidRDefault="00405D2E" w:rsidP="00405D2E">
            <w:pPr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d’appel public à concurrence publié au BOAMP</w:t>
            </w:r>
            <w:r w:rsidR="00AE314F">
              <w:rPr>
                <w:rFonts w:ascii="Calibri" w:hAnsi="Calibri" w:cs="Arial"/>
                <w:sz w:val="22"/>
                <w:szCs w:val="22"/>
              </w:rPr>
              <w:t xml:space="preserve"> ou dans un journal d’annonce légal</w:t>
            </w:r>
          </w:p>
          <w:p w:rsidR="00B97D62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E314F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Pr="00956193">
              <w:rPr>
                <w:rFonts w:ascii="Calibri" w:hAnsi="Calibri" w:cs="Arial"/>
                <w:sz w:val="22"/>
                <w:szCs w:val="22"/>
              </w:rPr>
              <w:t>rocès-verbaux de la commission d’appel d’offres ou de la commission des marchés</w:t>
            </w:r>
          </w:p>
          <w:p w:rsidR="0032572D" w:rsidRPr="00956193" w:rsidRDefault="0032572D" w:rsidP="0032572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Le cas échéant, analyse des candidatures et résultat</w:t>
            </w:r>
          </w:p>
          <w:p w:rsidR="00AE314F" w:rsidRDefault="005C7FD6" w:rsidP="0041408E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Rapport d’analyse des offres</w:t>
            </w:r>
            <w:r w:rsidR="00AE314F">
              <w:rPr>
                <w:rFonts w:ascii="Calibri" w:hAnsi="Calibri" w:cs="Arial"/>
                <w:bCs/>
                <w:sz w:val="22"/>
                <w:szCs w:val="22"/>
              </w:rPr>
              <w:t xml:space="preserve"> avec les notes, la pondération ou hiérarchie et classement</w:t>
            </w:r>
          </w:p>
          <w:p w:rsidR="00B97D62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497B">
              <w:rPr>
                <w:rFonts w:ascii="Calibri" w:hAnsi="Calibri" w:cs="Arial"/>
                <w:sz w:val="22"/>
                <w:szCs w:val="22"/>
              </w:rPr>
              <w:t xml:space="preserve">En cas de procédure négociée,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éléments assurant la traçabilité des négociations</w:t>
            </w:r>
          </w:p>
          <w:p w:rsidR="00D11D2C" w:rsidRPr="00956193" w:rsidRDefault="00D11D2C" w:rsidP="00D11D2C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Acte d’engagement ou c</w:t>
            </w:r>
            <w:r w:rsidRPr="00956193">
              <w:rPr>
                <w:rFonts w:ascii="Calibri" w:hAnsi="Calibri" w:cs="Arial"/>
                <w:sz w:val="22"/>
                <w:szCs w:val="22"/>
              </w:rPr>
              <w:t>ontra</w:t>
            </w:r>
            <w:r>
              <w:rPr>
                <w:rFonts w:ascii="Calibri" w:hAnsi="Calibri" w:cs="Arial"/>
                <w:sz w:val="22"/>
                <w:szCs w:val="22"/>
              </w:rPr>
              <w:t>t f</w:t>
            </w:r>
            <w:r w:rsidRPr="00956193">
              <w:rPr>
                <w:rFonts w:ascii="Calibri" w:hAnsi="Calibri" w:cs="Arial"/>
                <w:sz w:val="22"/>
                <w:szCs w:val="22"/>
              </w:rPr>
              <w:t>ormalisant l’accord entre les deux parties (lettre,  devis signé par l’acheteur, courriel, bon de commande …)</w:t>
            </w:r>
          </w:p>
          <w:p w:rsidR="0036490A" w:rsidRPr="00956193" w:rsidRDefault="0036490A" w:rsidP="0036490A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 cas échéant, avenants signés</w:t>
            </w:r>
          </w:p>
          <w:p w:rsidR="00B97D62" w:rsidRPr="00956193" w:rsidRDefault="00B97D62" w:rsidP="00D11D2C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499" w:type="pct"/>
            <w:shd w:val="clear" w:color="auto" w:fill="auto"/>
          </w:tcPr>
          <w:p w:rsidR="003924CA" w:rsidRDefault="003924CA" w:rsidP="003924C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Délibération de l’organe compétent autorisant l’exécutif à </w:t>
            </w:r>
            <w:r>
              <w:rPr>
                <w:rFonts w:ascii="Calibri" w:hAnsi="Calibri" w:cs="Arial"/>
                <w:sz w:val="22"/>
                <w:szCs w:val="22"/>
              </w:rPr>
              <w:t>passer les marché</w:t>
            </w:r>
            <w:r w:rsidR="00405D2E">
              <w:rPr>
                <w:rFonts w:ascii="Calibri" w:hAnsi="Calibri" w:cs="Arial"/>
                <w:sz w:val="22"/>
                <w:szCs w:val="22"/>
              </w:rPr>
              <w:t>s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F2851" w:rsidRDefault="00DF2851" w:rsidP="00DF2851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Le cas échéant, règlement intérieur sur les procédures de passation des marchés</w:t>
            </w:r>
          </w:p>
          <w:p w:rsidR="00DF2851" w:rsidRPr="00956193" w:rsidRDefault="00DF2851" w:rsidP="00DF2851">
            <w:pPr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d’appel public à concurrence publié au BOAMP, au JOUE et sur le profil d’acheteur</w:t>
            </w:r>
          </w:p>
          <w:p w:rsidR="009A56B0" w:rsidRPr="00956193" w:rsidRDefault="009A56B0" w:rsidP="009A56B0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Règlement de consultation </w:t>
            </w:r>
          </w:p>
          <w:p w:rsidR="009A56B0" w:rsidRDefault="009A56B0" w:rsidP="009A56B0">
            <w:pPr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Cahier des charges CCAP, CCTP</w:t>
            </w:r>
          </w:p>
          <w:p w:rsidR="003924CA" w:rsidRDefault="003924CA" w:rsidP="003924C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Pr="00956193">
              <w:rPr>
                <w:rFonts w:ascii="Calibri" w:hAnsi="Calibri" w:cs="Arial"/>
                <w:sz w:val="22"/>
                <w:szCs w:val="22"/>
              </w:rPr>
              <w:t>rocès-verbaux de la commission d’appel d’offres ou de la commission des marchés</w:t>
            </w:r>
            <w:r w:rsidR="009058C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9058C5" w:rsidRDefault="009058C5" w:rsidP="009058C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Le cas échéant, procès-verbaux </w:t>
            </w:r>
            <w:r w:rsidR="0021497B">
              <w:rPr>
                <w:rFonts w:ascii="Calibri" w:hAnsi="Calibri" w:cs="Arial"/>
                <w:sz w:val="22"/>
                <w:szCs w:val="22"/>
              </w:rPr>
              <w:t>ou</w:t>
            </w:r>
            <w:r w:rsidR="00151C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avis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motivé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du jury de concours  </w:t>
            </w:r>
          </w:p>
          <w:p w:rsidR="009058C5" w:rsidRDefault="009058C5" w:rsidP="009058C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</w:t>
            </w:r>
            <w:r w:rsidRPr="00956193">
              <w:rPr>
                <w:rFonts w:ascii="Calibri" w:hAnsi="Calibri" w:cs="Arial"/>
                <w:sz w:val="22"/>
                <w:szCs w:val="22"/>
              </w:rPr>
              <w:t>e cas échéant, lettre de consultation (appel d’offre restreint ou procédure négociée)</w:t>
            </w:r>
          </w:p>
          <w:p w:rsidR="009058C5" w:rsidRPr="00956193" w:rsidRDefault="009058C5" w:rsidP="009058C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51CB7">
              <w:rPr>
                <w:rFonts w:ascii="Calibri" w:hAnsi="Calibri" w:cs="Arial"/>
                <w:bCs/>
                <w:sz w:val="22"/>
                <w:szCs w:val="22"/>
              </w:rPr>
              <w:t>Pour les procédures négociées ou concours, les do</w:t>
            </w:r>
            <w:r w:rsidRPr="00956193">
              <w:rPr>
                <w:rFonts w:ascii="Calibri" w:hAnsi="Calibri" w:cs="Arial"/>
                <w:sz w:val="22"/>
                <w:szCs w:val="22"/>
              </w:rPr>
              <w:t>cuments assurant la traçabilité des négociations</w:t>
            </w:r>
          </w:p>
          <w:p w:rsidR="003924CA" w:rsidRDefault="00405D2E" w:rsidP="0041408E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51CB7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nalyse des candidatures</w:t>
            </w:r>
          </w:p>
          <w:p w:rsidR="009058C5" w:rsidRDefault="009058C5" w:rsidP="009058C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51CB7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Pr="00956193">
              <w:rPr>
                <w:rFonts w:ascii="Calibri" w:hAnsi="Calibri" w:cs="Arial"/>
                <w:sz w:val="22"/>
                <w:szCs w:val="22"/>
              </w:rPr>
              <w:t>nalyse des offres</w:t>
            </w:r>
          </w:p>
          <w:p w:rsidR="00DF2851" w:rsidRDefault="00DF2851" w:rsidP="00DF285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Rapport de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présentation (selon l’article 79 du CMP) 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3F6E9E">
              <w:rPr>
                <w:rFonts w:ascii="Calibri" w:hAnsi="Calibri" w:cs="Arial"/>
                <w:bCs/>
                <w:sz w:val="22"/>
                <w:szCs w:val="22"/>
              </w:rPr>
              <w:t xml:space="preserve">Notification 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d’attribution publié au BOAMP et au JOUE</w:t>
            </w:r>
          </w:p>
          <w:p w:rsidR="0036490A" w:rsidRPr="00956193" w:rsidRDefault="0036490A" w:rsidP="0036490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Acte d’engagement (ou accord-cadre), signé par les deux parties</w:t>
            </w:r>
          </w:p>
          <w:p w:rsidR="00DF2851" w:rsidRDefault="00DF2851" w:rsidP="00DF2851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Autorisation de l’assemblée pour la passation de l’avenant</w:t>
            </w:r>
          </w:p>
          <w:p w:rsidR="00DF2851" w:rsidRDefault="00DF2851" w:rsidP="00DF2851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PV de CAO ou commission des marchés si l’avenant augmente le marché initial de plus de 5 %</w:t>
            </w:r>
          </w:p>
          <w:p w:rsidR="00DF2851" w:rsidRDefault="00DF2851" w:rsidP="00DF285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 cas échéant, avenants signés</w:t>
            </w:r>
          </w:p>
          <w:p w:rsidR="00B97D62" w:rsidRPr="001910AF" w:rsidRDefault="00B97D62" w:rsidP="00F5321F">
            <w:pPr>
              <w:spacing w:before="120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</w:p>
        </w:tc>
      </w:tr>
      <w:tr w:rsidR="00B97D62" w:rsidRPr="00956193" w:rsidTr="005E690E">
        <w:trPr>
          <w:trHeight w:val="939"/>
        </w:trPr>
        <w:tc>
          <w:tcPr>
            <w:tcW w:w="5000" w:type="pct"/>
            <w:gridSpan w:val="2"/>
            <w:shd w:val="clear" w:color="auto" w:fill="auto"/>
          </w:tcPr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Dans tous les cas, en l’absence de concurrence possible :</w:t>
            </w:r>
          </w:p>
          <w:p w:rsidR="00B97D62" w:rsidRDefault="00B97D62" w:rsidP="0041408E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Attestation du représentant légal justifiant l’absence de mise en concurrence</w:t>
            </w:r>
          </w:p>
          <w:p w:rsidR="006B4A32" w:rsidRPr="00956193" w:rsidRDefault="006B4A32" w:rsidP="005E690E">
            <w:p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E690E" w:rsidRDefault="005E690E">
      <w:r>
        <w:lastRenderedPageBreak/>
        <w:br w:type="page"/>
      </w: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5243"/>
      </w:tblGrid>
      <w:tr w:rsidR="00B97D62" w:rsidRPr="00956193" w:rsidTr="00B43607">
        <w:tc>
          <w:tcPr>
            <w:tcW w:w="5000" w:type="pct"/>
            <w:gridSpan w:val="2"/>
            <w:shd w:val="clear" w:color="auto" w:fill="E36C0A" w:themeFill="accent6" w:themeFillShade="BF"/>
          </w:tcPr>
          <w:p w:rsidR="00B97D62" w:rsidRPr="00956193" w:rsidRDefault="005E690E" w:rsidP="005E690E">
            <w:pPr>
              <w:tabs>
                <w:tab w:val="right" w:leader="dot" w:pos="5697"/>
              </w:tabs>
              <w:spacing w:before="120" w:after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lastRenderedPageBreak/>
              <w:t>ORDONNANCE DU 6 JUIN 2005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pour consultations </w:t>
            </w:r>
            <w:r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lancées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avant le 1</w:t>
            </w:r>
            <w:r w:rsidR="008B4010" w:rsidRPr="008B4010">
              <w:rPr>
                <w:rFonts w:ascii="Calibri" w:hAnsi="Calibri"/>
                <w:b/>
                <w:smallCaps/>
                <w:sz w:val="22"/>
                <w:szCs w:val="22"/>
                <w:u w:val="single"/>
                <w:vertAlign w:val="superscript"/>
              </w:rPr>
              <w:t>er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avril 2016</w:t>
            </w:r>
          </w:p>
        </w:tc>
      </w:tr>
      <w:tr w:rsidR="00B97D62" w:rsidRPr="00956193" w:rsidTr="00B43607">
        <w:tc>
          <w:tcPr>
            <w:tcW w:w="2501" w:type="pct"/>
            <w:shd w:val="clear" w:color="auto" w:fill="auto"/>
            <w:vAlign w:val="center"/>
          </w:tcPr>
          <w:p w:rsidR="00B97D62" w:rsidRPr="00B43607" w:rsidRDefault="00B97D62" w:rsidP="00B43607">
            <w:pPr>
              <w:spacing w:before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B43607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Procédure </w:t>
            </w:r>
            <w:r w:rsidR="005E690E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adaptée</w:t>
            </w:r>
          </w:p>
          <w:p w:rsidR="00B43607" w:rsidRPr="00956193" w:rsidRDefault="006B4A32" w:rsidP="005E690E">
            <w:pPr>
              <w:tabs>
                <w:tab w:val="left" w:pos="0"/>
                <w:tab w:val="left" w:pos="567"/>
              </w:tabs>
              <w:snapToGrid w:val="0"/>
              <w:spacing w:before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="00B43607" w:rsidRPr="006B4A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pour les dépenses </w:t>
            </w:r>
            <w:r w:rsidR="005E690E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&gt;</w:t>
            </w:r>
            <w:r w:rsidR="00B43607" w:rsidRPr="006B4A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 à 25 000€ et inférieures aux seuils de procédure formalisée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B97D62" w:rsidRPr="00956193" w:rsidRDefault="00B43607" w:rsidP="00B43607">
            <w:pPr>
              <w:spacing w:before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910AF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Procédure formalisée</w:t>
            </w:r>
          </w:p>
        </w:tc>
      </w:tr>
      <w:tr w:rsidR="00B97D62" w:rsidRPr="00B91F8A" w:rsidTr="0053391C">
        <w:tc>
          <w:tcPr>
            <w:tcW w:w="2501" w:type="pct"/>
            <w:shd w:val="clear" w:color="auto" w:fill="auto"/>
          </w:tcPr>
          <w:p w:rsidR="00356387" w:rsidRDefault="00356387" w:rsidP="002252F8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2252F8" w:rsidRDefault="002252F8" w:rsidP="002252F8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Procédure interne des achats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  <w:p w:rsidR="00356387" w:rsidRDefault="002252F8" w:rsidP="0035638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356387">
              <w:rPr>
                <w:rFonts w:ascii="Calibri" w:hAnsi="Calibri" w:cs="Arial"/>
                <w:bCs/>
                <w:sz w:val="22"/>
                <w:szCs w:val="22"/>
              </w:rPr>
              <w:t xml:space="preserve">Pièces justificatives de mise en concurrence indiquées dans la procédure interne d’achats </w:t>
            </w:r>
          </w:p>
          <w:p w:rsidR="00356387" w:rsidRDefault="00356387" w:rsidP="0035638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2252F8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Pièces indiquées dans la procédure interne d’achat 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2252F8" w:rsidRPr="00956193" w:rsidRDefault="002252F8" w:rsidP="002252F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u regard du montant du marché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  <w:r w:rsidRPr="00956193">
              <w:rPr>
                <w:rFonts w:ascii="Calibri" w:hAnsi="Calibri" w:cs="Arial"/>
                <w:sz w:val="22"/>
                <w:szCs w:val="22"/>
              </w:rPr>
              <w:t>en général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</w:t>
            </w:r>
            <w:r w:rsidRPr="00956193">
              <w:rPr>
                <w:rFonts w:ascii="Calibri" w:hAnsi="Calibri" w:cs="Arial"/>
                <w:sz w:val="22"/>
                <w:szCs w:val="22"/>
              </w:rPr>
              <w:t>evront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figurer dans le dossier :</w:t>
            </w:r>
          </w:p>
          <w:p w:rsidR="002252F8" w:rsidRPr="00956193" w:rsidRDefault="002252F8" w:rsidP="002252F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252F8" w:rsidRPr="00956193" w:rsidRDefault="00731ED0" w:rsidP="002252F8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sym w:font="Wingdings 3" w:char="F05D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="002252F8"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Si la procédure prévoit seulement une demande de devis :</w:t>
            </w:r>
          </w:p>
          <w:p w:rsidR="002252F8" w:rsidRPr="00956193" w:rsidRDefault="002252F8" w:rsidP="002252F8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Lettre de consultation (= demande de devis) adressée par courrier, fax, courriel</w:t>
            </w:r>
          </w:p>
          <w:p w:rsidR="002252F8" w:rsidRPr="00956193" w:rsidRDefault="002252F8" w:rsidP="002252F8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ou</w:t>
            </w:r>
          </w:p>
          <w:p w:rsidR="002252F8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D</w:t>
            </w:r>
            <w:r w:rsidRPr="00956193">
              <w:rPr>
                <w:rFonts w:ascii="Calibri" w:hAnsi="Calibri" w:cs="Arial"/>
                <w:sz w:val="22"/>
                <w:szCs w:val="22"/>
              </w:rPr>
              <w:t>evis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Eventuellement, cah</w:t>
            </w:r>
            <w:r w:rsidRPr="00956193">
              <w:rPr>
                <w:rFonts w:ascii="Calibri" w:hAnsi="Calibri" w:cs="Arial"/>
                <w:sz w:val="22"/>
                <w:szCs w:val="22"/>
              </w:rPr>
              <w:t>ier des charges ou autre document décrivant la prestation attendue (si ces informations ne figurent pas dans la lettre de consultation)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Le cas échéant, 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rapport de choix si le devis retenu n’est pas le moins cher</w:t>
            </w:r>
          </w:p>
          <w:p w:rsidR="002252F8" w:rsidRPr="00956193" w:rsidRDefault="00731ED0" w:rsidP="002252F8">
            <w:pPr>
              <w:tabs>
                <w:tab w:val="left" w:pos="0"/>
                <w:tab w:val="left" w:pos="567"/>
              </w:tabs>
              <w:snapToGrid w:val="0"/>
              <w:spacing w:before="36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sym w:font="Wingdings 3" w:char="F05D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="002252F8"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Si la procédure prévoit la publication d’un avis d’appel public à concurrence :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d’appel public à concurrence publié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Eventuellement, d</w:t>
            </w:r>
            <w:r w:rsidRPr="00956193">
              <w:rPr>
                <w:rFonts w:ascii="Calibri" w:hAnsi="Calibri" w:cs="Arial"/>
                <w:sz w:val="22"/>
                <w:szCs w:val="22"/>
              </w:rPr>
              <w:t>ocuments décrivant la prestation attendue et les caractéristiques principales de la procédure et du choix de l’offre, (règlement de la consultation, cahier des charges)</w:t>
            </w:r>
          </w:p>
          <w:p w:rsidR="002252F8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léments relatifs à l'examen des candidatures des </w:t>
            </w:r>
            <w:proofErr w:type="gramStart"/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(rapport 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d’analyse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et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de choix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:rsidR="002252F8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E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léments relatifs à l'examen des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offres (rapport d’analyse et de choix)</w:t>
            </w:r>
          </w:p>
          <w:p w:rsidR="002252F8" w:rsidRPr="008876B7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Pr="00956193">
              <w:rPr>
                <w:rFonts w:ascii="Calibri" w:hAnsi="Calibri" w:cs="Arial"/>
                <w:sz w:val="22"/>
                <w:szCs w:val="22"/>
              </w:rPr>
              <w:t>ontrat formalisant l’accord entre les deux parties (lettre, contrat, devis signé par l’acheteur, courriel, bon de commande …)</w:t>
            </w:r>
          </w:p>
          <w:p w:rsidR="002252F8" w:rsidRPr="00956193" w:rsidRDefault="002252F8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Pr="00956193">
              <w:rPr>
                <w:rFonts w:ascii="Calibri" w:hAnsi="Calibri" w:cs="Arial"/>
                <w:sz w:val="22"/>
                <w:szCs w:val="22"/>
              </w:rPr>
              <w:t>venants signés</w:t>
            </w:r>
          </w:p>
          <w:p w:rsidR="00B97D62" w:rsidRPr="00956193" w:rsidRDefault="00B97D62" w:rsidP="002252F8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Avis d’appel public à concurrence publié </w:t>
            </w:r>
            <w:r w:rsidR="006B4A32">
              <w:rPr>
                <w:rFonts w:ascii="Calibri" w:hAnsi="Calibri" w:cs="Arial"/>
                <w:sz w:val="22"/>
                <w:szCs w:val="22"/>
              </w:rPr>
              <w:t>sur les différents supports de publicités réglementaires (JOUE, BOAMP)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Le cas échéant,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de pré</w:t>
            </w:r>
            <w:r w:rsidR="00B43607">
              <w:rPr>
                <w:rFonts w:ascii="Calibri" w:hAnsi="Calibri" w:cs="Arial"/>
                <w:sz w:val="22"/>
                <w:szCs w:val="22"/>
              </w:rPr>
              <w:t>-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information </w:t>
            </w:r>
            <w:r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ou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avis périodique indicatif + lettre invitant les opérateurs  économiques à confirmer leur intérêt o</w:t>
            </w:r>
            <w:r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u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avis sur l’existence d’un système de qualification publié au JOUE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 cas échéant, avis de concours publié au JOUE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</w:t>
            </w:r>
            <w:r w:rsidRPr="00956193">
              <w:rPr>
                <w:rFonts w:ascii="Calibri" w:hAnsi="Calibri" w:cs="Arial"/>
                <w:sz w:val="22"/>
                <w:szCs w:val="22"/>
              </w:rPr>
              <w:t>e cas échéant, lettre de consultation (procédure restreinte ou négociée)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8876B7">
              <w:rPr>
                <w:rFonts w:ascii="Calibri" w:hAnsi="Calibri" w:cs="Arial"/>
                <w:bCs/>
                <w:sz w:val="22"/>
                <w:szCs w:val="22"/>
              </w:rPr>
              <w:t xml:space="preserve">Pour les concours,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procès-verbaux et avis du jury de concours  </w:t>
            </w:r>
          </w:p>
          <w:p w:rsidR="00B97D62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Le cas échéant, p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rocès-verbaux de la commission d’appel d’offres ou de la commission des marchés </w:t>
            </w:r>
          </w:p>
          <w:p w:rsidR="008876B7" w:rsidRDefault="008876B7" w:rsidP="008876B7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Analyse des candidatures</w:t>
            </w:r>
          </w:p>
          <w:p w:rsidR="00B97D62" w:rsidRPr="00956193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8876B7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Pr="00956193">
              <w:rPr>
                <w:rFonts w:ascii="Calibri" w:hAnsi="Calibri" w:cs="Arial"/>
                <w:sz w:val="22"/>
                <w:szCs w:val="22"/>
              </w:rPr>
              <w:t>nalyse des offres</w:t>
            </w:r>
          </w:p>
          <w:p w:rsidR="00B97D62" w:rsidRDefault="00B97D62" w:rsidP="0041408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8876B7">
              <w:rPr>
                <w:rFonts w:ascii="Calibri" w:hAnsi="Calibri" w:cs="Arial"/>
                <w:bCs/>
                <w:sz w:val="22"/>
                <w:szCs w:val="22"/>
              </w:rPr>
              <w:t xml:space="preserve">En cas de procédure négociée,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documents assurant la traçabilité des négociations</w:t>
            </w:r>
          </w:p>
          <w:p w:rsidR="009C7D00" w:rsidRDefault="009C7D00" w:rsidP="009C7D00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Rapport de présentation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(selon l’article 45 de décret d’application de l’ordonnance du 6 juin 2005)</w:t>
            </w:r>
          </w:p>
          <w:p w:rsidR="009C7D00" w:rsidRPr="00956193" w:rsidRDefault="009C7D00" w:rsidP="009C7D00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Contrat ou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acte d’engagement ou accord-cadre, signé par les deux parties</w:t>
            </w:r>
          </w:p>
          <w:p w:rsidR="009C7D00" w:rsidRPr="00956193" w:rsidRDefault="009C7D00" w:rsidP="009C7D00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Autorisation de l’assemblée pour passer les avenants</w:t>
            </w:r>
          </w:p>
          <w:p w:rsidR="008876B7" w:rsidRPr="00956193" w:rsidRDefault="008876B7" w:rsidP="008876B7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 cas échéant, avenants signés</w:t>
            </w:r>
          </w:p>
          <w:p w:rsidR="00B97D62" w:rsidRPr="00B91F8A" w:rsidRDefault="00B97D62" w:rsidP="009C7D00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97D62" w:rsidRPr="0059391A" w:rsidTr="0053391C">
        <w:tc>
          <w:tcPr>
            <w:tcW w:w="5000" w:type="pct"/>
            <w:gridSpan w:val="2"/>
            <w:shd w:val="clear" w:color="auto" w:fill="auto"/>
          </w:tcPr>
          <w:p w:rsidR="00B97D62" w:rsidRPr="0059391A" w:rsidRDefault="00B97D62" w:rsidP="0041408E">
            <w:pPr>
              <w:spacing w:before="120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59391A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Dans tous les cas, en l’absence de concurrence possible :</w:t>
            </w:r>
          </w:p>
          <w:p w:rsidR="00151847" w:rsidRDefault="00B97D62" w:rsidP="00B43607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59391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91A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9391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9391A">
              <w:rPr>
                <w:rFonts w:ascii="Calibri" w:hAnsi="Calibri" w:cs="Arial"/>
                <w:sz w:val="22"/>
                <w:szCs w:val="22"/>
              </w:rPr>
              <w:t xml:space="preserve"> Attestation du représentant légal justifiant l’absence de mise en concurrence</w:t>
            </w:r>
          </w:p>
          <w:p w:rsidR="00557965" w:rsidRPr="0059391A" w:rsidRDefault="00557965" w:rsidP="00B43607">
            <w:p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3E94" w:rsidRPr="00442C6D" w:rsidTr="0053391C">
        <w:tc>
          <w:tcPr>
            <w:tcW w:w="5000" w:type="pct"/>
            <w:gridSpan w:val="2"/>
            <w:shd w:val="clear" w:color="auto" w:fill="D9D9D9"/>
          </w:tcPr>
          <w:p w:rsidR="00AD3E94" w:rsidRPr="00442C6D" w:rsidRDefault="00AD3E94" w:rsidP="00387E59">
            <w:pPr>
              <w:tabs>
                <w:tab w:val="right" w:leader="dot" w:pos="5697"/>
              </w:tabs>
              <w:spacing w:before="120" w:after="120"/>
              <w:jc w:val="both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442C6D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lastRenderedPageBreak/>
              <w:t>Marché subséquent à un accord-cadre multi-attributaire</w:t>
            </w:r>
          </w:p>
        </w:tc>
      </w:tr>
      <w:tr w:rsidR="00AD3E94" w:rsidRPr="00956193" w:rsidTr="0053391C">
        <w:tc>
          <w:tcPr>
            <w:tcW w:w="5000" w:type="pct"/>
            <w:gridSpan w:val="2"/>
            <w:shd w:val="clear" w:color="auto" w:fill="auto"/>
          </w:tcPr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956193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Pièces relatives à l’accord-cadre :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A</w:t>
            </w:r>
            <w:r w:rsidRPr="00956193">
              <w:rPr>
                <w:rFonts w:ascii="Calibri" w:hAnsi="Calibri" w:cs="Arial"/>
                <w:sz w:val="22"/>
                <w:szCs w:val="22"/>
              </w:rPr>
              <w:t>ccord-cadre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(Rapport de présentation ou autre document présentant tous les attributaires de l’accord-cadre).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Rapport de présentation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956193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Pièces relatives au marché passé sur le fondement de l’accord-cadre :</w:t>
            </w:r>
          </w:p>
          <w:p w:rsidR="009B01AF" w:rsidRDefault="009B01AF" w:rsidP="009B01A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Offres/devis des candidats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AD3E94" w:rsidRPr="00956193" w:rsidRDefault="00BA3D19" w:rsidP="00387E5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PV de CAO si marchés subséquents supérieurs aux seuils de procédure formalisée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Rapport d’analyse des offres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Contrat formalisant l’accord entre les parties</w:t>
            </w:r>
          </w:p>
          <w:p w:rsidR="00AD3E94" w:rsidRPr="00956193" w:rsidRDefault="00AD3E94" w:rsidP="00387E59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Le cas échéant, bon de commande</w:t>
            </w:r>
          </w:p>
          <w:p w:rsidR="00AD3E94" w:rsidRPr="00956193" w:rsidRDefault="00AD3E94" w:rsidP="00387E59">
            <w:p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Notification du rejet des offres aux candidats évincés</w:t>
            </w:r>
          </w:p>
        </w:tc>
      </w:tr>
    </w:tbl>
    <w:p w:rsidR="00AF7D48" w:rsidRDefault="00AF7D48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p w:rsidR="00FB55D6" w:rsidRDefault="00FB55D6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5243"/>
      </w:tblGrid>
      <w:tr w:rsidR="008B4010" w:rsidRPr="00956193" w:rsidTr="00BA2B62">
        <w:tc>
          <w:tcPr>
            <w:tcW w:w="5000" w:type="pct"/>
            <w:gridSpan w:val="2"/>
            <w:shd w:val="clear" w:color="auto" w:fill="E36C0A" w:themeFill="accent6" w:themeFillShade="BF"/>
          </w:tcPr>
          <w:p w:rsidR="008B4010" w:rsidRPr="00956193" w:rsidRDefault="005E690E" w:rsidP="008B4010">
            <w:pPr>
              <w:tabs>
                <w:tab w:val="right" w:leader="dot" w:pos="5697"/>
              </w:tabs>
              <w:spacing w:before="120" w:after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lastRenderedPageBreak/>
              <w:t>ORDONNANCE</w:t>
            </w:r>
            <w:r w:rsidR="008B4010" w:rsidRPr="0059391A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2015-899 pour consultations </w:t>
            </w:r>
            <w:r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lancées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A PARTIR DU 1</w:t>
            </w:r>
            <w:r w:rsidR="008B4010" w:rsidRPr="008B4010">
              <w:rPr>
                <w:rFonts w:ascii="Calibri" w:hAnsi="Calibri"/>
                <w:b/>
                <w:smallCaps/>
                <w:sz w:val="22"/>
                <w:szCs w:val="22"/>
                <w:u w:val="single"/>
                <w:vertAlign w:val="superscript"/>
              </w:rPr>
              <w:t>er</w:t>
            </w:r>
            <w:r w:rsidR="008B4010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 avril 2016 INCLUS</w:t>
            </w:r>
          </w:p>
        </w:tc>
      </w:tr>
      <w:tr w:rsidR="008B4010" w:rsidRPr="00956193" w:rsidTr="005E690E">
        <w:trPr>
          <w:trHeight w:val="1167"/>
        </w:trPr>
        <w:tc>
          <w:tcPr>
            <w:tcW w:w="2501" w:type="pct"/>
            <w:shd w:val="clear" w:color="auto" w:fill="auto"/>
            <w:vAlign w:val="center"/>
          </w:tcPr>
          <w:p w:rsidR="008B4010" w:rsidRPr="00B43607" w:rsidRDefault="008B4010" w:rsidP="005E690E">
            <w:pPr>
              <w:spacing w:before="120"/>
              <w:jc w:val="center"/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</w:pPr>
            <w:r w:rsidRPr="00B43607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 xml:space="preserve">Procédure </w:t>
            </w:r>
            <w:r w:rsidR="005E690E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adaptée</w:t>
            </w:r>
          </w:p>
          <w:p w:rsidR="008B4010" w:rsidRPr="00956193" w:rsidRDefault="006B4A32" w:rsidP="005E690E">
            <w:pPr>
              <w:tabs>
                <w:tab w:val="left" w:pos="0"/>
                <w:tab w:val="left" w:pos="567"/>
              </w:tabs>
              <w:snapToGrid w:val="0"/>
              <w:spacing w:before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="008B4010" w:rsidRPr="006B4A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pour les dépenses </w:t>
            </w:r>
            <w:r w:rsidR="005E690E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&gt; </w:t>
            </w:r>
            <w:r w:rsidR="008B4010" w:rsidRPr="006B4A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à 25 000€ et inférieures aux seuils de procédure formalisée</w:t>
            </w:r>
            <w:r w:rsidRPr="006B4A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8B4010" w:rsidRPr="00956193" w:rsidRDefault="008B4010" w:rsidP="00BA2B62">
            <w:pPr>
              <w:spacing w:before="12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910AF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Procédure formalisée</w:t>
            </w:r>
          </w:p>
        </w:tc>
      </w:tr>
      <w:tr w:rsidR="008B4010" w:rsidRPr="00B91F8A" w:rsidTr="00BA2B62">
        <w:tc>
          <w:tcPr>
            <w:tcW w:w="2501" w:type="pct"/>
            <w:shd w:val="clear" w:color="auto" w:fill="auto"/>
          </w:tcPr>
          <w:p w:rsidR="00C35D9F" w:rsidRDefault="00C35D9F" w:rsidP="00BA2B62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  <w:p w:rsidR="007B5442" w:rsidRPr="007B5442" w:rsidRDefault="00C35D9F" w:rsidP="00BA2B62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sym w:font="Wingdings 3" w:char="F05D"/>
            </w:r>
            <w:r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B5442" w:rsidRPr="007B544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Si votre structure a une procédure interne d’achats : </w:t>
            </w:r>
          </w:p>
          <w:p w:rsidR="00C35D9F" w:rsidRDefault="00C35D9F" w:rsidP="00BA2B62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B4010" w:rsidRDefault="008B4010" w:rsidP="00BA2B62">
            <w:pPr>
              <w:tabs>
                <w:tab w:val="left" w:pos="0"/>
                <w:tab w:val="left" w:pos="567"/>
                <w:tab w:val="left" w:pos="3765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Procédure interne d</w:t>
            </w:r>
            <w:r w:rsidR="00A338DA">
              <w:rPr>
                <w:rFonts w:ascii="Calibri" w:hAnsi="Calibri" w:cs="Arial"/>
                <w:bCs/>
                <w:sz w:val="22"/>
                <w:szCs w:val="22"/>
              </w:rPr>
              <w:t>’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achats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  <w:p w:rsidR="00574BA5" w:rsidRDefault="008B4010" w:rsidP="00574B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Pièces</w:t>
            </w:r>
            <w:r w:rsidR="00C35D9F">
              <w:rPr>
                <w:rFonts w:ascii="Calibri" w:hAnsi="Calibri" w:cs="Arial"/>
                <w:bCs/>
                <w:sz w:val="22"/>
                <w:szCs w:val="22"/>
              </w:rPr>
              <w:t xml:space="preserve"> justificatives de mise en concurrence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indiquées dans la procédure interne d’achats </w:t>
            </w:r>
          </w:p>
          <w:p w:rsidR="00574BA5" w:rsidRDefault="00574BA5" w:rsidP="00574BA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574BA5" w:rsidRDefault="00574BA5" w:rsidP="00574BA5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sym w:font="Wingdings 3" w:char="F05D"/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Pr="001E127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Si votre structure n’a pas de procédure interne d’achats : </w:t>
            </w:r>
          </w:p>
          <w:p w:rsidR="00B93D4B" w:rsidRDefault="00B93D4B" w:rsidP="00BA2B62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Il vous sera demandé de justifier la mise en concurrence effectuée pour le marché concerné au moyen d’une publicité adaptée à la nature et aux caractéristiques du  besoin à satisfaire. Les documents suivants peuvent vous être demandés : </w:t>
            </w:r>
          </w:p>
          <w:p w:rsidR="008B4010" w:rsidRPr="00956193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d’appel public à concurrence publié</w:t>
            </w:r>
          </w:p>
          <w:p w:rsidR="008B4010" w:rsidRPr="00956193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Eventuellement, d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ocuments décrivant la prestation attendue et les caractéristiques principales de la procédure et du choix de l’offre, (règlement de la consultation, cahier des charges), </w:t>
            </w:r>
          </w:p>
          <w:p w:rsidR="008B4010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léments relatifs à l'examen des candidatures  (rapport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d’analyse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et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de choix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:rsidR="008B4010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E</w:t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léments relatifs à l'examen des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offres (rapport d’analyse et de choix)</w:t>
            </w:r>
          </w:p>
          <w:p w:rsidR="008B4010" w:rsidRPr="008876B7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B93D4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Pr="00956193">
              <w:rPr>
                <w:rFonts w:ascii="Calibri" w:hAnsi="Calibri" w:cs="Arial"/>
                <w:sz w:val="22"/>
                <w:szCs w:val="22"/>
              </w:rPr>
              <w:t>ontrat formalisant l’accord entre les deux parties (lettre, contrat, devis signé par l’acheteur, courriel, bon de commande …)</w:t>
            </w:r>
          </w:p>
          <w:p w:rsidR="008B4010" w:rsidRDefault="008B4010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4776A">
              <w:rPr>
                <w:rFonts w:ascii="Calibri" w:hAnsi="Calibri" w:cs="Arial"/>
                <w:bCs/>
                <w:sz w:val="22"/>
                <w:szCs w:val="22"/>
              </w:rPr>
              <w:t>Le cas échéant, m</w:t>
            </w:r>
            <w:r w:rsidR="00A338DA">
              <w:rPr>
                <w:rFonts w:ascii="Calibri" w:hAnsi="Calibri" w:cs="Arial"/>
                <w:sz w:val="22"/>
                <w:szCs w:val="22"/>
              </w:rPr>
              <w:t>odifications de contrat signées</w:t>
            </w:r>
            <w:r w:rsidR="004E5A6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93D4B" w:rsidRPr="00956193" w:rsidRDefault="00B93D4B" w:rsidP="00BA2B62">
            <w:pPr>
              <w:tabs>
                <w:tab w:val="left" w:pos="0"/>
                <w:tab w:val="left" w:pos="567"/>
              </w:tabs>
              <w:snapToGrid w:val="0"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8B4010" w:rsidRPr="00956193" w:rsidRDefault="008B4010" w:rsidP="00574BA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Avis d’appel public à concurrence publié </w:t>
            </w:r>
            <w:r w:rsidR="004E5A6C">
              <w:rPr>
                <w:rFonts w:ascii="Calibri" w:hAnsi="Calibri" w:cs="Arial"/>
                <w:sz w:val="22"/>
                <w:szCs w:val="22"/>
              </w:rPr>
              <w:t>sur les différents supports de publicité réglementaires (JOUE, BOAMP).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Le cas échéant,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avis de pré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information </w:t>
            </w:r>
            <w:r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ou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avis périodique indicatif + lettre invitant les opérateurs  économiques à confirmer leur intérêt o</w:t>
            </w:r>
            <w:r w:rsidRPr="00956193">
              <w:rPr>
                <w:rFonts w:ascii="Calibri" w:hAnsi="Calibri" w:cs="Arial"/>
                <w:i/>
                <w:iCs/>
                <w:sz w:val="22"/>
                <w:szCs w:val="22"/>
              </w:rPr>
              <w:t>u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avis sur l’existence d’un système de qualification publié au JOUE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Le cas échéant, avis de concours publié au JOUE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L</w:t>
            </w:r>
            <w:r w:rsidRPr="00956193">
              <w:rPr>
                <w:rFonts w:ascii="Calibri" w:hAnsi="Calibri" w:cs="Arial"/>
                <w:sz w:val="22"/>
                <w:szCs w:val="22"/>
              </w:rPr>
              <w:t>e cas échéant, lettre de consultation (procédure restreinte ou négociée)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Pour les concours,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procès-verbaux et avis du jury de concours  </w:t>
            </w:r>
          </w:p>
          <w:p w:rsidR="008B4010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E5A6C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rocès-verbaux de la commission d’appel d’offres </w:t>
            </w:r>
          </w:p>
          <w:p w:rsidR="008B4010" w:rsidRDefault="008B4010" w:rsidP="00BA2B62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Analyse des candidatures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Pr="00956193">
              <w:rPr>
                <w:rFonts w:ascii="Calibri" w:hAnsi="Calibri" w:cs="Arial"/>
                <w:sz w:val="22"/>
                <w:szCs w:val="22"/>
              </w:rPr>
              <w:t>nalyse des offres</w:t>
            </w:r>
          </w:p>
          <w:p w:rsidR="0024776A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En cas de procédure négociée,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documents assurant la traçabilité des négociations</w:t>
            </w:r>
          </w:p>
          <w:p w:rsidR="008B4010" w:rsidRDefault="0024776A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>Rapport de présentation</w:t>
            </w:r>
          </w:p>
          <w:p w:rsidR="008B4010" w:rsidRPr="00956193" w:rsidRDefault="008B4010" w:rsidP="00BA2B62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Contrat ou </w:t>
            </w:r>
            <w:r w:rsidRPr="00956193">
              <w:rPr>
                <w:rFonts w:ascii="Calibri" w:hAnsi="Calibri" w:cs="Arial"/>
                <w:sz w:val="22"/>
                <w:szCs w:val="22"/>
              </w:rPr>
              <w:t>acte d’engagement ou accord-cadre, signé par les deux parties</w:t>
            </w:r>
          </w:p>
          <w:p w:rsidR="0024776A" w:rsidRPr="00956193" w:rsidRDefault="0024776A" w:rsidP="0024776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19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</w:r>
            <w:r w:rsidR="00FD323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Pr="009561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Le cas échéant, </w:t>
            </w:r>
            <w:r>
              <w:rPr>
                <w:rFonts w:ascii="Calibri" w:hAnsi="Calibri" w:cs="Arial"/>
                <w:sz w:val="22"/>
                <w:szCs w:val="22"/>
              </w:rPr>
              <w:t>modification</w:t>
            </w:r>
            <w:r w:rsidR="008F26F7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contrat</w:t>
            </w:r>
            <w:r w:rsidRPr="00956193">
              <w:rPr>
                <w:rFonts w:ascii="Calibri" w:hAnsi="Calibri" w:cs="Arial"/>
                <w:sz w:val="22"/>
                <w:szCs w:val="22"/>
              </w:rPr>
              <w:t xml:space="preserve"> signé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8F26F7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8B4010" w:rsidRPr="00B91F8A" w:rsidRDefault="008B4010" w:rsidP="007C0B92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4010" w:rsidRPr="0059391A" w:rsidTr="00BA2B62">
        <w:tc>
          <w:tcPr>
            <w:tcW w:w="5000" w:type="pct"/>
            <w:gridSpan w:val="2"/>
            <w:shd w:val="clear" w:color="auto" w:fill="auto"/>
          </w:tcPr>
          <w:p w:rsidR="008B4010" w:rsidRPr="0059391A" w:rsidRDefault="008B4010" w:rsidP="00BA2B62">
            <w:pPr>
              <w:spacing w:before="120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59391A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Dans tous les cas, en l’absence de concurrence possible :</w:t>
            </w:r>
          </w:p>
          <w:p w:rsidR="008B4010" w:rsidRPr="0059391A" w:rsidRDefault="008B4010" w:rsidP="00BA2B62">
            <w:p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9391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91A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D3233">
              <w:rPr>
                <w:rFonts w:ascii="Calibri" w:hAnsi="Calibri" w:cs="Arial"/>
                <w:sz w:val="22"/>
                <w:szCs w:val="22"/>
              </w:rPr>
            </w:r>
            <w:r w:rsidR="00FD323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9391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9391A">
              <w:rPr>
                <w:rFonts w:ascii="Calibri" w:hAnsi="Calibri" w:cs="Arial"/>
                <w:sz w:val="22"/>
                <w:szCs w:val="22"/>
              </w:rPr>
              <w:t xml:space="preserve"> Attestation du représentant légal justifiant l’absence de mise en concurrence</w:t>
            </w:r>
          </w:p>
        </w:tc>
      </w:tr>
    </w:tbl>
    <w:p w:rsidR="008B4010" w:rsidRPr="00AF7D48" w:rsidRDefault="008B4010" w:rsidP="00EC449C">
      <w:pPr>
        <w:pStyle w:val="Retraitcorpsdetexte3"/>
        <w:tabs>
          <w:tab w:val="right" w:pos="6237"/>
          <w:tab w:val="right" w:pos="10490"/>
        </w:tabs>
        <w:spacing w:line="700" w:lineRule="exact"/>
        <w:rPr>
          <w:rFonts w:asciiTheme="minorHAnsi" w:hAnsiTheme="minorHAnsi"/>
          <w:szCs w:val="22"/>
        </w:rPr>
      </w:pPr>
    </w:p>
    <w:sectPr w:rsidR="008B4010" w:rsidRPr="00AF7D48" w:rsidSect="004A7F6D">
      <w:footerReference w:type="default" r:id="rId9"/>
      <w:footerReference w:type="first" r:id="rId10"/>
      <w:pgSz w:w="11906" w:h="16838" w:code="9"/>
      <w:pgMar w:top="720" w:right="720" w:bottom="720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4C" w:rsidRDefault="005F724C" w:rsidP="009F434C">
      <w:r>
        <w:separator/>
      </w:r>
    </w:p>
  </w:endnote>
  <w:endnote w:type="continuationSeparator" w:id="0">
    <w:p w:rsidR="005F724C" w:rsidRDefault="005F724C" w:rsidP="009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AF" w:rsidRPr="00151847" w:rsidRDefault="004A7F6D" w:rsidP="00B913AF">
    <w:pPr>
      <w:pStyle w:val="Pieddepage"/>
      <w:tabs>
        <w:tab w:val="clear" w:pos="4536"/>
        <w:tab w:val="clear" w:pos="9072"/>
        <w:tab w:val="right" w:pos="9639"/>
      </w:tabs>
      <w:rPr>
        <w:rFonts w:asciiTheme="minorHAnsi" w:hAnsiTheme="minorHAnsi"/>
      </w:rPr>
    </w:pPr>
    <w:r w:rsidRPr="00151847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 wp14:anchorId="70D1F81F" wp14:editId="4228C28F">
          <wp:simplePos x="0" y="0"/>
          <wp:positionH relativeFrom="column">
            <wp:posOffset>6400800</wp:posOffset>
          </wp:positionH>
          <wp:positionV relativeFrom="paragraph">
            <wp:posOffset>13970</wp:posOffset>
          </wp:positionV>
          <wp:extent cx="152400" cy="205105"/>
          <wp:effectExtent l="0" t="0" r="0" b="4445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3AF" w:rsidRPr="00151847">
      <w:rPr>
        <w:rFonts w:asciiTheme="minorHAnsi" w:hAnsiTheme="minorHAnsi"/>
      </w:rPr>
      <w:tab/>
      <w:t xml:space="preserve">     </w:t>
    </w:r>
    <w:r w:rsidR="00B913AF" w:rsidRPr="00151847">
      <w:rPr>
        <w:rFonts w:asciiTheme="minorHAnsi" w:hAnsiTheme="minorHAnsi"/>
      </w:rPr>
      <w:tab/>
    </w:r>
    <w:sdt>
      <w:sdtPr>
        <w:rPr>
          <w:rFonts w:asciiTheme="minorHAnsi" w:hAnsiTheme="minorHAnsi"/>
        </w:rPr>
        <w:id w:val="-2078734070"/>
        <w:docPartObj>
          <w:docPartGallery w:val="Page Numbers (Bottom of Page)"/>
          <w:docPartUnique/>
        </w:docPartObj>
      </w:sdtPr>
      <w:sdtEndPr/>
      <w:sdtContent>
        <w:r w:rsidR="00B913AF" w:rsidRPr="00151847">
          <w:rPr>
            <w:rFonts w:asciiTheme="minorHAnsi" w:hAnsiTheme="minorHAnsi"/>
          </w:rPr>
          <w:fldChar w:fldCharType="begin"/>
        </w:r>
        <w:r w:rsidR="00B913AF" w:rsidRPr="00151847">
          <w:rPr>
            <w:rFonts w:asciiTheme="minorHAnsi" w:hAnsiTheme="minorHAnsi"/>
          </w:rPr>
          <w:instrText>PAGE   \* MERGEFORMAT</w:instrText>
        </w:r>
        <w:r w:rsidR="00B913AF" w:rsidRPr="00151847">
          <w:rPr>
            <w:rFonts w:asciiTheme="minorHAnsi" w:hAnsiTheme="minorHAnsi"/>
          </w:rPr>
          <w:fldChar w:fldCharType="separate"/>
        </w:r>
        <w:r w:rsidR="00BA0ED6">
          <w:rPr>
            <w:rFonts w:asciiTheme="minorHAnsi" w:hAnsiTheme="minorHAnsi"/>
            <w:noProof/>
          </w:rPr>
          <w:t>2</w:t>
        </w:r>
        <w:r w:rsidR="00B913AF" w:rsidRPr="00151847">
          <w:rPr>
            <w:rFonts w:asciiTheme="minorHAnsi" w:hAnsiTheme="minorHAnsi"/>
          </w:rPr>
          <w:fldChar w:fldCharType="end"/>
        </w:r>
      </w:sdtContent>
    </w:sdt>
  </w:p>
  <w:p w:rsidR="009F434C" w:rsidRDefault="009F43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6D" w:rsidRDefault="004A7F6D" w:rsidP="004A7F6D">
    <w:pPr>
      <w:pStyle w:val="Pieddepage"/>
      <w:ind w:left="-709"/>
      <w:jc w:val="right"/>
    </w:pPr>
    <w:r>
      <w:rPr>
        <w:noProof/>
      </w:rPr>
      <w:drawing>
        <wp:inline distT="0" distB="0" distL="0" distR="0" wp14:anchorId="45098A5E" wp14:editId="1A0E03FA">
          <wp:extent cx="7560000" cy="761708"/>
          <wp:effectExtent l="0" t="0" r="3175" b="635"/>
          <wp:docPr id="2" name="Image 2" descr="H:\13- service Coordination\5. Pôle coordination-animation\1. Communication\02- 2014-2020\1.b charte graphique\bandeaux, logos 2014-2020\bandeau\1- bandeau principal\1 - Bandeau standard 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3- service Coordination\5. Pôle coordination-animation\1. Communication\02- 2014-2020\1.b charte graphique\bandeaux, logos 2014-2020\bandeau\1- bandeau principal\1 - Bandeau standard -UE + Ré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61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4C" w:rsidRDefault="005F724C" w:rsidP="009F434C">
      <w:r>
        <w:separator/>
      </w:r>
    </w:p>
  </w:footnote>
  <w:footnote w:type="continuationSeparator" w:id="0">
    <w:p w:rsidR="005F724C" w:rsidRDefault="005F724C" w:rsidP="009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467"/>
    <w:multiLevelType w:val="hybridMultilevel"/>
    <w:tmpl w:val="F140CC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0DC"/>
    <w:multiLevelType w:val="hybridMultilevel"/>
    <w:tmpl w:val="74F67DCE"/>
    <w:lvl w:ilvl="0" w:tplc="81F059D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307"/>
    <w:multiLevelType w:val="hybridMultilevel"/>
    <w:tmpl w:val="654ED4E0"/>
    <w:lvl w:ilvl="0" w:tplc="DA22F4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248AE"/>
    <w:multiLevelType w:val="hybridMultilevel"/>
    <w:tmpl w:val="976A33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AD6"/>
    <w:multiLevelType w:val="hybridMultilevel"/>
    <w:tmpl w:val="6638C9D4"/>
    <w:lvl w:ilvl="0" w:tplc="364415C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164"/>
    <w:multiLevelType w:val="hybridMultilevel"/>
    <w:tmpl w:val="B44E9EA4"/>
    <w:lvl w:ilvl="0" w:tplc="ED8CBF0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474F22"/>
    <w:multiLevelType w:val="hybridMultilevel"/>
    <w:tmpl w:val="851AC38C"/>
    <w:lvl w:ilvl="0" w:tplc="DF92A8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C55776"/>
    <w:multiLevelType w:val="hybridMultilevel"/>
    <w:tmpl w:val="2488CFA4"/>
    <w:lvl w:ilvl="0" w:tplc="53E4B19C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40A12B6"/>
    <w:multiLevelType w:val="hybridMultilevel"/>
    <w:tmpl w:val="E5A46C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E7"/>
    <w:rsid w:val="00024171"/>
    <w:rsid w:val="00025AF0"/>
    <w:rsid w:val="000269AF"/>
    <w:rsid w:val="000366BA"/>
    <w:rsid w:val="0004024F"/>
    <w:rsid w:val="000748A0"/>
    <w:rsid w:val="000A0692"/>
    <w:rsid w:val="000D2C26"/>
    <w:rsid w:val="000D617B"/>
    <w:rsid w:val="0014421F"/>
    <w:rsid w:val="001464A3"/>
    <w:rsid w:val="00151847"/>
    <w:rsid w:val="00151CB7"/>
    <w:rsid w:val="00156003"/>
    <w:rsid w:val="00161B0E"/>
    <w:rsid w:val="00196875"/>
    <w:rsid w:val="001C05E7"/>
    <w:rsid w:val="001E1271"/>
    <w:rsid w:val="0021497B"/>
    <w:rsid w:val="002252F8"/>
    <w:rsid w:val="002402A0"/>
    <w:rsid w:val="0024776A"/>
    <w:rsid w:val="00264D30"/>
    <w:rsid w:val="002763AB"/>
    <w:rsid w:val="002935D3"/>
    <w:rsid w:val="002B356C"/>
    <w:rsid w:val="002F313C"/>
    <w:rsid w:val="003172B7"/>
    <w:rsid w:val="0032572D"/>
    <w:rsid w:val="00337BE0"/>
    <w:rsid w:val="00350A8D"/>
    <w:rsid w:val="00356387"/>
    <w:rsid w:val="0036490A"/>
    <w:rsid w:val="003924CA"/>
    <w:rsid w:val="003F6E9E"/>
    <w:rsid w:val="00405D2E"/>
    <w:rsid w:val="00421CA7"/>
    <w:rsid w:val="004576D8"/>
    <w:rsid w:val="00460BD5"/>
    <w:rsid w:val="00475420"/>
    <w:rsid w:val="0048578C"/>
    <w:rsid w:val="004A7F6D"/>
    <w:rsid w:val="004E5A6C"/>
    <w:rsid w:val="004E5D2A"/>
    <w:rsid w:val="005042A2"/>
    <w:rsid w:val="0053391C"/>
    <w:rsid w:val="00557965"/>
    <w:rsid w:val="005601A9"/>
    <w:rsid w:val="00565F11"/>
    <w:rsid w:val="00574BA5"/>
    <w:rsid w:val="00592DE7"/>
    <w:rsid w:val="005A2C56"/>
    <w:rsid w:val="005B3CD3"/>
    <w:rsid w:val="005B496D"/>
    <w:rsid w:val="005C7FD6"/>
    <w:rsid w:val="005D3281"/>
    <w:rsid w:val="005E1B7E"/>
    <w:rsid w:val="005E690E"/>
    <w:rsid w:val="005F724C"/>
    <w:rsid w:val="00604513"/>
    <w:rsid w:val="0061095C"/>
    <w:rsid w:val="006228F9"/>
    <w:rsid w:val="0063075D"/>
    <w:rsid w:val="00636128"/>
    <w:rsid w:val="00645767"/>
    <w:rsid w:val="00655C55"/>
    <w:rsid w:val="00673B38"/>
    <w:rsid w:val="006B0D67"/>
    <w:rsid w:val="006B4A32"/>
    <w:rsid w:val="006F4A13"/>
    <w:rsid w:val="00712A29"/>
    <w:rsid w:val="00716A11"/>
    <w:rsid w:val="00731ED0"/>
    <w:rsid w:val="007356FE"/>
    <w:rsid w:val="00783CA1"/>
    <w:rsid w:val="007A4146"/>
    <w:rsid w:val="007B5442"/>
    <w:rsid w:val="007C0B92"/>
    <w:rsid w:val="007C1CE3"/>
    <w:rsid w:val="008364F7"/>
    <w:rsid w:val="0084085E"/>
    <w:rsid w:val="0084510C"/>
    <w:rsid w:val="00860770"/>
    <w:rsid w:val="00876F0F"/>
    <w:rsid w:val="008876B7"/>
    <w:rsid w:val="008B37D8"/>
    <w:rsid w:val="008B4010"/>
    <w:rsid w:val="008C1C9A"/>
    <w:rsid w:val="008E1437"/>
    <w:rsid w:val="008F26F7"/>
    <w:rsid w:val="009058C5"/>
    <w:rsid w:val="00905CF1"/>
    <w:rsid w:val="0096155B"/>
    <w:rsid w:val="00987B27"/>
    <w:rsid w:val="009A56B0"/>
    <w:rsid w:val="009B01AF"/>
    <w:rsid w:val="009C7881"/>
    <w:rsid w:val="009C7D00"/>
    <w:rsid w:val="009E1F19"/>
    <w:rsid w:val="009F434C"/>
    <w:rsid w:val="009F568C"/>
    <w:rsid w:val="00A338DA"/>
    <w:rsid w:val="00A4777C"/>
    <w:rsid w:val="00A64525"/>
    <w:rsid w:val="00A81E09"/>
    <w:rsid w:val="00A83C9B"/>
    <w:rsid w:val="00A9432A"/>
    <w:rsid w:val="00A960D0"/>
    <w:rsid w:val="00AA7CFB"/>
    <w:rsid w:val="00AB4685"/>
    <w:rsid w:val="00AD3E94"/>
    <w:rsid w:val="00AE2743"/>
    <w:rsid w:val="00AE314F"/>
    <w:rsid w:val="00AF7D48"/>
    <w:rsid w:val="00B01287"/>
    <w:rsid w:val="00B32043"/>
    <w:rsid w:val="00B40F73"/>
    <w:rsid w:val="00B43607"/>
    <w:rsid w:val="00B46C3B"/>
    <w:rsid w:val="00B67EEA"/>
    <w:rsid w:val="00B913AF"/>
    <w:rsid w:val="00B93D4B"/>
    <w:rsid w:val="00B97D62"/>
    <w:rsid w:val="00BA0ED6"/>
    <w:rsid w:val="00BA3D19"/>
    <w:rsid w:val="00BB17B1"/>
    <w:rsid w:val="00BB71E2"/>
    <w:rsid w:val="00BC530B"/>
    <w:rsid w:val="00BE14BD"/>
    <w:rsid w:val="00C35D9F"/>
    <w:rsid w:val="00C43DD6"/>
    <w:rsid w:val="00C53337"/>
    <w:rsid w:val="00CB61AE"/>
    <w:rsid w:val="00D06740"/>
    <w:rsid w:val="00D11D2C"/>
    <w:rsid w:val="00D26834"/>
    <w:rsid w:val="00D302F5"/>
    <w:rsid w:val="00D651BE"/>
    <w:rsid w:val="00DA60A3"/>
    <w:rsid w:val="00DB0A08"/>
    <w:rsid w:val="00DD0C14"/>
    <w:rsid w:val="00DD6D01"/>
    <w:rsid w:val="00DF2851"/>
    <w:rsid w:val="00E00E87"/>
    <w:rsid w:val="00E01532"/>
    <w:rsid w:val="00E10B73"/>
    <w:rsid w:val="00EC449C"/>
    <w:rsid w:val="00F255B9"/>
    <w:rsid w:val="00F318AE"/>
    <w:rsid w:val="00F5321F"/>
    <w:rsid w:val="00F80F03"/>
    <w:rsid w:val="00F86B10"/>
    <w:rsid w:val="00FB55D6"/>
    <w:rsid w:val="00FD323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34C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34C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881"/>
  </w:style>
  <w:style w:type="character" w:customStyle="1" w:styleId="CommentaireCar">
    <w:name w:val="Commentaire Car"/>
    <w:basedOn w:val="Policepardfaut"/>
    <w:link w:val="Commentaire"/>
    <w:uiPriority w:val="99"/>
    <w:semiHidden/>
    <w:rsid w:val="009C7881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88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textecourant">
    <w:name w:val="texte courant"/>
    <w:basedOn w:val="Normal"/>
    <w:rsid w:val="00F532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F5321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34C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34C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881"/>
  </w:style>
  <w:style w:type="character" w:customStyle="1" w:styleId="CommentaireCar">
    <w:name w:val="Commentaire Car"/>
    <w:basedOn w:val="Policepardfaut"/>
    <w:link w:val="Commentaire"/>
    <w:uiPriority w:val="99"/>
    <w:semiHidden/>
    <w:rsid w:val="009C7881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88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textecourant">
    <w:name w:val="texte courant"/>
    <w:basedOn w:val="Normal"/>
    <w:rsid w:val="00F532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F5321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REMAUD Christelle</dc:creator>
  <cp:lastModifiedBy>LE GALLIOT MATHIEU Gaidig</cp:lastModifiedBy>
  <cp:revision>58</cp:revision>
  <cp:lastPrinted>2016-08-31T09:09:00Z</cp:lastPrinted>
  <dcterms:created xsi:type="dcterms:W3CDTF">2016-07-28T16:33:00Z</dcterms:created>
  <dcterms:modified xsi:type="dcterms:W3CDTF">2018-01-31T11:33:00Z</dcterms:modified>
</cp:coreProperties>
</file>